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C4F9A" w14:textId="5B25801B" w:rsidR="000C5FFC" w:rsidRPr="00DD071E" w:rsidRDefault="00DD071E" w:rsidP="00DD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Program Overview of Casa Bolívar, Spanish House</w:t>
      </w:r>
    </w:p>
    <w:p w14:paraId="685CCA54" w14:textId="77777777" w:rsidR="000C5FFC" w:rsidRPr="00DD071E" w:rsidRDefault="000C5FFC" w:rsidP="00DD0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</w:p>
    <w:p w14:paraId="1C49A181" w14:textId="5F7DA471" w:rsidR="00DD071E" w:rsidRPr="00DD071E" w:rsidRDefault="00DD071E" w:rsidP="00DD0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Background</w:t>
      </w:r>
    </w:p>
    <w:p w14:paraId="03EB787D" w14:textId="2BB24408" w:rsidR="000C5FFC" w:rsidRPr="00DD071E" w:rsidRDefault="000C5FFC" w:rsidP="00DD071E">
      <w:pPr>
        <w:pStyle w:val="xxmsonormal"/>
        <w:shd w:val="clear" w:color="auto" w:fill="FFFFFF"/>
        <w:tabs>
          <w:tab w:val="left" w:pos="990"/>
        </w:tabs>
        <w:spacing w:before="0" w:beforeAutospacing="0" w:after="0" w:afterAutospacing="0"/>
        <w:rPr>
          <w:color w:val="000000"/>
          <w:sz w:val="22"/>
          <w:szCs w:val="22"/>
          <w:bdr w:val="none" w:sz="0" w:space="0" w:color="auto" w:frame="1"/>
        </w:rPr>
      </w:pPr>
      <w:r w:rsidRPr="00DD071E">
        <w:rPr>
          <w:i/>
          <w:iCs/>
          <w:color w:val="000000"/>
          <w:sz w:val="22"/>
          <w:szCs w:val="22"/>
          <w:bdr w:val="none" w:sz="0" w:space="0" w:color="auto" w:frame="1"/>
        </w:rPr>
        <w:t>Casa Bolívar</w:t>
      </w:r>
      <w:r w:rsidRPr="00DD071E">
        <w:rPr>
          <w:color w:val="000000"/>
          <w:sz w:val="22"/>
          <w:szCs w:val="22"/>
          <w:bdr w:val="none" w:sz="0" w:space="0" w:color="auto" w:frame="1"/>
        </w:rPr>
        <w:t xml:space="preserve"> supports the </w:t>
      </w:r>
      <w:r w:rsidR="00DD071E" w:rsidRPr="00DD071E">
        <w:rPr>
          <w:color w:val="000000"/>
          <w:sz w:val="22"/>
          <w:szCs w:val="22"/>
          <w:bdr w:val="none" w:sz="0" w:space="0" w:color="auto" w:frame="1"/>
        </w:rPr>
        <w:t xml:space="preserve">department’s </w:t>
      </w:r>
      <w:r w:rsidRPr="00DD071E">
        <w:rPr>
          <w:color w:val="000000"/>
          <w:sz w:val="22"/>
          <w:szCs w:val="22"/>
          <w:bdr w:val="none" w:sz="0" w:space="0" w:color="auto" w:frame="1"/>
        </w:rPr>
        <w:t xml:space="preserve">mission by offering a unique, on-campus immersion opportunity. Immersion offers the best </w:t>
      </w:r>
      <w:r w:rsidR="00B85AB7" w:rsidRPr="00DD071E">
        <w:rPr>
          <w:color w:val="000000"/>
          <w:sz w:val="22"/>
          <w:szCs w:val="22"/>
          <w:bdr w:val="none" w:sz="0" w:space="0" w:color="auto" w:frame="1"/>
        </w:rPr>
        <w:t>way to</w:t>
      </w:r>
      <w:r w:rsidRPr="00DD071E">
        <w:rPr>
          <w:color w:val="000000"/>
          <w:sz w:val="22"/>
          <w:szCs w:val="22"/>
          <w:bdr w:val="none" w:sz="0" w:space="0" w:color="auto" w:frame="1"/>
        </w:rPr>
        <w:t xml:space="preserve"> master a language. </w:t>
      </w:r>
      <w:r w:rsidR="0070607C" w:rsidRPr="00DD071E">
        <w:rPr>
          <w:color w:val="000000"/>
          <w:sz w:val="22"/>
          <w:szCs w:val="22"/>
          <w:bdr w:val="none" w:sz="0" w:space="0" w:color="auto" w:frame="1"/>
        </w:rPr>
        <w:t>L</w:t>
      </w:r>
      <w:r w:rsidRPr="00DD071E">
        <w:rPr>
          <w:color w:val="000000"/>
          <w:sz w:val="22"/>
          <w:szCs w:val="22"/>
          <w:bdr w:val="none" w:sz="0" w:space="0" w:color="auto" w:frame="1"/>
        </w:rPr>
        <w:t xml:space="preserve">iving </w:t>
      </w:r>
      <w:r w:rsidR="0070607C" w:rsidRPr="00DD071E">
        <w:rPr>
          <w:color w:val="000000"/>
          <w:sz w:val="22"/>
          <w:szCs w:val="22"/>
          <w:bdr w:val="none" w:sz="0" w:space="0" w:color="auto" w:frame="1"/>
        </w:rPr>
        <w:t>spaces</w:t>
      </w:r>
      <w:r w:rsidRPr="00DD071E">
        <w:rPr>
          <w:color w:val="000000"/>
          <w:sz w:val="22"/>
          <w:szCs w:val="22"/>
          <w:bdr w:val="none" w:sz="0" w:space="0" w:color="auto" w:frame="1"/>
        </w:rPr>
        <w:t xml:space="preserve"> provide residents with the chance to chat casually, while nightly dinners provide for a more structured gathering. Daily interaction, periodic meetings, and a wide range of planned activities enable students to explore </w:t>
      </w:r>
      <w:r w:rsidR="0070607C" w:rsidRPr="00DD071E">
        <w:rPr>
          <w:color w:val="000000"/>
          <w:sz w:val="22"/>
          <w:szCs w:val="22"/>
          <w:bdr w:val="none" w:sz="0" w:space="0" w:color="auto" w:frame="1"/>
        </w:rPr>
        <w:t>shared</w:t>
      </w:r>
      <w:r w:rsidRPr="00DD071E">
        <w:rPr>
          <w:color w:val="000000"/>
          <w:sz w:val="22"/>
          <w:szCs w:val="22"/>
          <w:bdr w:val="none" w:sz="0" w:space="0" w:color="auto" w:frame="1"/>
        </w:rPr>
        <w:t xml:space="preserve"> interests </w:t>
      </w:r>
      <w:r w:rsidR="0070607C" w:rsidRPr="00DD071E">
        <w:rPr>
          <w:color w:val="000000"/>
          <w:sz w:val="22"/>
          <w:szCs w:val="22"/>
          <w:bdr w:val="none" w:sz="0" w:space="0" w:color="auto" w:frame="1"/>
        </w:rPr>
        <w:t xml:space="preserve">and tell of personal experiences </w:t>
      </w:r>
      <w:r w:rsidRPr="00DD071E">
        <w:rPr>
          <w:color w:val="000000"/>
          <w:sz w:val="22"/>
          <w:szCs w:val="22"/>
          <w:bdr w:val="none" w:sz="0" w:space="0" w:color="auto" w:frame="1"/>
        </w:rPr>
        <w:t xml:space="preserve">in the culturally diverse Spanish-speaking world. The House welcomes native speakers; non-native students who have lived, traveled extensively, or studied abroad; and students enrolled in Spanish courses. The administrative team for </w:t>
      </w:r>
      <w:r w:rsidRPr="00DD071E">
        <w:rPr>
          <w:i/>
          <w:iCs/>
          <w:color w:val="000000"/>
          <w:sz w:val="22"/>
          <w:szCs w:val="22"/>
          <w:bdr w:val="none" w:sz="0" w:space="0" w:color="auto" w:frame="1"/>
        </w:rPr>
        <w:t>Casa Bolívar</w:t>
      </w:r>
      <w:r w:rsidRPr="00DD071E">
        <w:rPr>
          <w:color w:val="000000"/>
          <w:sz w:val="22"/>
          <w:szCs w:val="22"/>
          <w:bdr w:val="none" w:sz="0" w:space="0" w:color="auto" w:frame="1"/>
        </w:rPr>
        <w:t xml:space="preserve"> consists of a Faculty Coordinator </w:t>
      </w:r>
      <w:r w:rsidR="000F53B2">
        <w:rPr>
          <w:color w:val="000000"/>
          <w:sz w:val="22"/>
          <w:szCs w:val="22"/>
          <w:bdr w:val="none" w:sz="0" w:space="0" w:color="auto" w:frame="1"/>
        </w:rPr>
        <w:t xml:space="preserve">(House Director) </w:t>
      </w:r>
      <w:r w:rsidRPr="00DD071E">
        <w:rPr>
          <w:color w:val="000000"/>
          <w:sz w:val="22"/>
          <w:szCs w:val="22"/>
          <w:bdr w:val="none" w:sz="0" w:space="0" w:color="auto" w:frame="1"/>
        </w:rPr>
        <w:t>from SIP, a graduate student liaison (</w:t>
      </w:r>
      <w:r w:rsidR="000F53B2">
        <w:rPr>
          <w:color w:val="000000"/>
          <w:sz w:val="22"/>
          <w:szCs w:val="22"/>
          <w:bdr w:val="none" w:sz="0" w:space="0" w:color="auto" w:frame="1"/>
        </w:rPr>
        <w:t xml:space="preserve">sometimes called language assistant, also </w:t>
      </w:r>
      <w:r w:rsidRPr="00DD071E">
        <w:rPr>
          <w:color w:val="000000"/>
          <w:sz w:val="22"/>
          <w:szCs w:val="22"/>
          <w:bdr w:val="none" w:sz="0" w:space="0" w:color="auto" w:frame="1"/>
        </w:rPr>
        <w:t>typically also from SIP), and Campus Housing.</w:t>
      </w:r>
      <w:r w:rsidR="00DD071E">
        <w:rPr>
          <w:color w:val="000000"/>
          <w:sz w:val="22"/>
          <w:szCs w:val="22"/>
          <w:bdr w:val="none" w:sz="0" w:space="0" w:color="auto" w:frame="1"/>
        </w:rPr>
        <w:t xml:space="preserve"> This document provides an overview of the first two positions, including the selection process for each role.</w:t>
      </w:r>
    </w:p>
    <w:p w14:paraId="73E79D82" w14:textId="77777777" w:rsidR="000C5FFC" w:rsidRPr="00DD071E" w:rsidRDefault="000C5FFC" w:rsidP="00DD0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u w:val="single"/>
          <w:bdr w:val="none" w:sz="0" w:space="0" w:color="auto" w:frame="1"/>
          <w14:ligatures w14:val="none"/>
        </w:rPr>
      </w:pPr>
    </w:p>
    <w:p w14:paraId="3CD0F7EC" w14:textId="4ABC3655" w:rsidR="000C5FFC" w:rsidRPr="00DD071E" w:rsidRDefault="000C5FFC" w:rsidP="00DD07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Faculty Coordinator</w:t>
      </w:r>
      <w:r w:rsidR="000F53B2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/House Director</w:t>
      </w:r>
      <w:r w:rsidRPr="00DD071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Job </w:t>
      </w:r>
      <w:r w:rsidRPr="000C5FFC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Responsibilities</w:t>
      </w:r>
    </w:p>
    <w:p w14:paraId="0D6697A9" w14:textId="3883EC12" w:rsidR="000C5FFC" w:rsidRPr="00DD071E" w:rsidRDefault="000C5FFC" w:rsidP="00DD07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The faculty coordinator 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is </w:t>
      </w:r>
      <w:r w:rsidR="00B85AB7" w:rsidRPr="000F53B2">
        <w:rPr>
          <w:rFonts w:ascii="Times New Roman" w:eastAsia="Times New Roman" w:hAnsi="Times New Roman" w:cs="Times New Roman"/>
          <w:kern w:val="0"/>
          <w:sz w:val="22"/>
          <w:szCs w:val="22"/>
          <w:bdr w:val="none" w:sz="0" w:space="0" w:color="auto" w:frame="1"/>
          <w14:ligatures w14:val="none"/>
        </w:rPr>
        <w:t xml:space="preserve">a 3-year 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position with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a variety of responsibilities</w:t>
      </w:r>
      <w:r w:rsidR="000F53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, including language learning, supervision/administrative coordination, and outreach/programming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.</w:t>
      </w:r>
      <w:r w:rsidR="000F53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To ensure equitable rotations of service and opportunities for leadership in the department, the recommended limit is two terms. The faculty coordinator is appointed by the Chair and receives $2,000 in summer support.</w:t>
      </w:r>
    </w:p>
    <w:p w14:paraId="778D0204" w14:textId="77777777" w:rsidR="000C5FFC" w:rsidRPr="00DD071E" w:rsidRDefault="000C5FFC" w:rsidP="00DD07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</w:p>
    <w:p w14:paraId="1EC78416" w14:textId="4025514A" w:rsidR="000C5FFC" w:rsidRPr="00DD071E" w:rsidRDefault="000C5FFC" w:rsidP="00DD07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Language Learning</w:t>
      </w:r>
    </w:p>
    <w:p w14:paraId="6004515F" w14:textId="17ACDB95" w:rsidR="0070607C" w:rsidRPr="00DD071E" w:rsidRDefault="000C5FFC" w:rsidP="00DD07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Work with local groups and non-profits to promote 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real-world 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opportunities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to practice</w:t>
      </w:r>
    </w:p>
    <w:p w14:paraId="722A1B50" w14:textId="0DA40647" w:rsidR="000C5FFC" w:rsidRPr="00DD071E" w:rsidRDefault="0070607C" w:rsidP="00DD07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Organize 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cultural 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events with other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language houses (French, SHEA, etc.)</w:t>
      </w:r>
      <w:r w:rsidR="000C5FFC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</w:t>
      </w:r>
    </w:p>
    <w:p w14:paraId="3631EF98" w14:textId="5585719E" w:rsidR="0070607C" w:rsidRPr="00DD071E" w:rsidRDefault="0070607C" w:rsidP="00DD07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Create syllabus for SPAN 4800, the credit/no credit experiential learning component that accompanies residency in Casa Bolívar, and maintain the Canvas site</w:t>
      </w:r>
    </w:p>
    <w:p w14:paraId="776B3496" w14:textId="77777777" w:rsidR="000C5FFC" w:rsidRPr="00DD071E" w:rsidRDefault="000C5FFC" w:rsidP="00DD07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</w:p>
    <w:p w14:paraId="3ECC5011" w14:textId="1D4E2C17" w:rsidR="000C5FFC" w:rsidRPr="00DD071E" w:rsidRDefault="000C5FFC" w:rsidP="00DD07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Supervision and Coordination</w:t>
      </w:r>
    </w:p>
    <w:p w14:paraId="5CE3D9B1" w14:textId="7D7D1F68" w:rsidR="000C5FFC" w:rsidRPr="00DD071E" w:rsidRDefault="000C5FFC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Hire a graduate liaison (advertise, interview candidates, 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discuss committee rubrics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)</w:t>
      </w:r>
    </w:p>
    <w:p w14:paraId="21158DCF" w14:textId="4E3F4882" w:rsidR="000C5FFC" w:rsidRPr="00DD071E" w:rsidRDefault="00B85AB7" w:rsidP="00DD071E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Selection </w:t>
      </w:r>
      <w:r w:rsidR="000C5FFC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committee should include the Faculty Coordinator and 1 representative from the undergraduate and graduate programs (for example, 1 member each of the U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ndergraduate Curriculum </w:t>
      </w:r>
      <w:r w:rsidR="000C5FFC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and Graduate Committee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</w:t>
      </w:r>
      <w:r w:rsidR="000C5FFC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)</w:t>
      </w:r>
    </w:p>
    <w:p w14:paraId="1C0D54B8" w14:textId="4A4E0AF9" w:rsidR="000C5FFC" w:rsidRPr="00DD071E" w:rsidRDefault="000C5FFC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Assist the graduate liaison with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their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 duties, including 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through 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monthly check-ins</w:t>
      </w:r>
    </w:p>
    <w:p w14:paraId="2E201927" w14:textId="557287FC" w:rsidR="0070607C" w:rsidRPr="00DD071E" w:rsidRDefault="0070607C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Collaborate with graduate liaison and Housing on selection of residents</w:t>
      </w:r>
    </w:p>
    <w:p w14:paraId="70329B00" w14:textId="551D9B48" w:rsidR="00B85AB7" w:rsidRPr="00DD071E" w:rsidRDefault="00B85AB7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Coordinate with Housing on the selection of a Residential Assistant</w:t>
      </w:r>
    </w:p>
    <w:p w14:paraId="07BD9EC5" w14:textId="40F50210" w:rsidR="0070607C" w:rsidRPr="00DD071E" w:rsidRDefault="00B85AB7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H</w:t>
      </w:r>
      <w:r w:rsidR="0070607C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ost an orientation for new residents in August, ideally with the Institute of World Languages and 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other </w:t>
      </w:r>
      <w:r w:rsidR="0070607C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language houses, outlining Housing policies and shared rules</w:t>
      </w:r>
    </w:p>
    <w:p w14:paraId="22D94C33" w14:textId="7AF65306" w:rsidR="000C5FFC" w:rsidRPr="00DD071E" w:rsidRDefault="000C5FFC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Help 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 xml:space="preserve">the graduate liaison and RA 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resolve conflicts between house residents</w:t>
      </w:r>
    </w:p>
    <w:p w14:paraId="0A36D323" w14:textId="1F73E3DE" w:rsidR="0070607C" w:rsidRPr="00DD071E" w:rsidRDefault="0070607C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Ensure compliance with Housing policies and House rules for all participants</w:t>
      </w:r>
    </w:p>
    <w:p w14:paraId="6A741549" w14:textId="525273D2" w:rsidR="000C5FFC" w:rsidRPr="00DD071E" w:rsidRDefault="000C5FFC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Keep every bed occupied during the academic year</w:t>
      </w:r>
    </w:p>
    <w:p w14:paraId="1391DB0B" w14:textId="79FA41B9" w:rsidR="0070607C" w:rsidRPr="00DD071E" w:rsidRDefault="0070607C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Serve as the House’s point of contact for Housing, IWL, SIP, and student groups</w:t>
      </w:r>
    </w:p>
    <w:p w14:paraId="521FC42D" w14:textId="5B2EA11A" w:rsidR="00B85AB7" w:rsidRPr="00DD071E" w:rsidRDefault="00B85AB7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Manage the annual budget</w:t>
      </w:r>
    </w:p>
    <w:p w14:paraId="6293AD36" w14:textId="7633DBFD" w:rsidR="000C5FFC" w:rsidRPr="00DD071E" w:rsidRDefault="0070607C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Submit an annual report to the SIP Department Chair at the end of the Spring</w:t>
      </w:r>
    </w:p>
    <w:p w14:paraId="125040F3" w14:textId="2BD855AA" w:rsidR="000C5FFC" w:rsidRPr="00DD071E" w:rsidRDefault="000C5FFC" w:rsidP="00DD07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ab/>
      </w:r>
    </w:p>
    <w:p w14:paraId="75EA1B06" w14:textId="27D4CFA7" w:rsidR="000C5FFC" w:rsidRPr="00DD071E" w:rsidRDefault="000C5FFC" w:rsidP="00DD07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bdr w:val="none" w:sz="0" w:space="0" w:color="auto" w:frame="1"/>
          <w14:ligatures w14:val="none"/>
        </w:rPr>
      </w:pPr>
      <w:r w:rsidRPr="00DD071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:bdr w:val="none" w:sz="0" w:space="0" w:color="auto" w:frame="1"/>
          <w14:ligatures w14:val="none"/>
        </w:rPr>
        <w:t>Outreach and Programming</w:t>
      </w:r>
    </w:p>
    <w:p w14:paraId="093A7611" w14:textId="469EFDFD" w:rsidR="000C5FFC" w:rsidRPr="00DD071E" w:rsidRDefault="000C5FFC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2"/>
          <w:szCs w:val="22"/>
          <w14:ligatures w14:val="none"/>
        </w:rPr>
      </w:pPr>
      <w:r w:rsidRPr="00DD071E">
        <w:rPr>
          <w:rFonts w:ascii="Times New Roman" w:eastAsia="Times New Roman" w:hAnsi="Times New Roman" w:cs="Times New Roman"/>
          <w:color w:val="242424"/>
          <w:kern w:val="0"/>
          <w:sz w:val="22"/>
          <w:szCs w:val="22"/>
          <w14:ligatures w14:val="none"/>
        </w:rPr>
        <w:t>Advertise Casa Bolívar to prospective students</w:t>
      </w:r>
    </w:p>
    <w:p w14:paraId="0FB804EC" w14:textId="1A3FD914" w:rsidR="000C5FFC" w:rsidRPr="00DD071E" w:rsidRDefault="000C5FFC" w:rsidP="00DD0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2"/>
          <w:szCs w:val="22"/>
          <w14:ligatures w14:val="none"/>
        </w:rPr>
      </w:pPr>
      <w:r w:rsidRPr="00DD071E">
        <w:rPr>
          <w:rFonts w:ascii="Times New Roman" w:eastAsia="Times New Roman" w:hAnsi="Times New Roman" w:cs="Times New Roman"/>
          <w:color w:val="242424"/>
          <w:kern w:val="0"/>
          <w:sz w:val="22"/>
          <w:szCs w:val="22"/>
          <w14:ligatures w14:val="none"/>
        </w:rPr>
        <w:t>Advertise Casa Bolívar events regularly (email, social media, word of mouth)</w:t>
      </w:r>
    </w:p>
    <w:p w14:paraId="56D96EF0" w14:textId="138445B7" w:rsidR="000C5FFC" w:rsidRPr="000C5FFC" w:rsidRDefault="000C5FFC" w:rsidP="00DD07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1612D420" w14:textId="525E84A6" w:rsidR="00B85AB7" w:rsidRPr="000F0C6B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0F0C6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Graduate Student Liaison</w:t>
      </w:r>
      <w:r w:rsidR="00DD071E" w:rsidRPr="000F0C6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/Language Assistant</w:t>
      </w:r>
      <w:r w:rsidRPr="000F0C6B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Job Responsibilities</w:t>
      </w:r>
    </w:p>
    <w:p w14:paraId="0D0970C0" w14:textId="7B1165DB" w:rsidR="000F53B2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post of Language Assistant at Casa Bolívar is generally assigned to a graduate student of the Department of Spanish, Italian and Portuguese. However, </w:t>
      </w:r>
      <w:r w:rsidR="000F53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we welcome applications from </w:t>
      </w: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graduate students </w:t>
      </w:r>
      <w:r w:rsidR="000F53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lastRenderedPageBreak/>
        <w:t>in</w:t>
      </w: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other departments </w:t>
      </w:r>
      <w:r w:rsidR="000F53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who</w:t>
      </w: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speak Spanish fluently and demonstrate a proven record of dedication to and interest in Latinx, Latin American and Spanish Peninsular culture. The duration of the term is one academic year. </w:t>
      </w:r>
      <w:r w:rsidR="000F53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UVA provides all housing and meal plan fees for the “Semester 80” program, which includes 80 meals per term, including House Dinners (M-Th) and Dining Halls. The plan also provides $175 in Plus Dollars, which can be used at any UVA cash dining locations, such as coffee shops in the libraries. </w:t>
      </w:r>
    </w:p>
    <w:p w14:paraId="671E11C1" w14:textId="77777777" w:rsidR="000F53B2" w:rsidRDefault="000F53B2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4AD10F2" w14:textId="0D4E674A" w:rsidR="00B85AB7" w:rsidRPr="00DD071E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The Language Assistant lives </w:t>
      </w:r>
      <w:r w:rsidR="000F53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in</w:t>
      </w: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Casa Bolívar (Room 118) and has the following </w:t>
      </w:r>
      <w:r w:rsidR="000F53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on-site residential</w:t>
      </w: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duties:</w:t>
      </w:r>
    </w:p>
    <w:p w14:paraId="1F15C01E" w14:textId="77777777" w:rsidR="00DD071E" w:rsidRPr="00DD071E" w:rsidRDefault="00DD071E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939DE50" w14:textId="2C011D74" w:rsidR="00DD071E" w:rsidRPr="00DD071E" w:rsidRDefault="000F53B2" w:rsidP="00DD07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Meet with the Faculty Coordinator in August to o</w:t>
      </w:r>
      <w:r w:rsidR="00DD071E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rganize the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House’s</w:t>
      </w:r>
      <w:r w:rsidR="00DD071E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year-long workshop series</w:t>
      </w:r>
    </w:p>
    <w:p w14:paraId="0BF225AF" w14:textId="77777777" w:rsidR="00DD071E" w:rsidRPr="00DD071E" w:rsidRDefault="00DD071E" w:rsidP="00DD07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Serve 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as a liaison between (</w:t>
      </w:r>
      <w:r w:rsidR="00B85AB7" w:rsidRPr="00DD071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a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) the House and the Department of Spanish, Italian and Portuguese, as well as between (</w:t>
      </w:r>
      <w:r w:rsidR="00B85AB7" w:rsidRPr="00DD071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b</w:t>
      </w:r>
      <w:r w:rsidR="00B85AB7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) the House and Housing</w:t>
      </w:r>
    </w:p>
    <w:p w14:paraId="6539E879" w14:textId="77777777" w:rsidR="00DD071E" w:rsidRPr="00DD071E" w:rsidRDefault="00B85AB7" w:rsidP="00DD07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proofErr w:type="gramStart"/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Enforce the Spanish-Only Rule at all times</w:t>
      </w:r>
      <w:proofErr w:type="gramEnd"/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once the residents have signed the language pledge to commit to this rule</w:t>
      </w:r>
    </w:p>
    <w:p w14:paraId="1AD9DC52" w14:textId="4D738ECB" w:rsidR="00DD071E" w:rsidRPr="00DD071E" w:rsidRDefault="00B85AB7" w:rsidP="00DD07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Keep every bed occupied for the duration of the academic year by conducting interviews and reviewing all applications, along with the Director of the house</w:t>
      </w:r>
    </w:p>
    <w:p w14:paraId="198F2D1A" w14:textId="2D71269D" w:rsidR="00DD071E" w:rsidRPr="00DD071E" w:rsidRDefault="00B85AB7" w:rsidP="00DD071E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Interviews are led by the</w:t>
      </w:r>
      <w:r w:rsidR="000F53B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House Director/Faculty Coordinator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who turns recommendations to Housing and Residence Life for their final approval. This applies to all new and prospective residents.</w:t>
      </w:r>
    </w:p>
    <w:p w14:paraId="0699272C" w14:textId="77777777" w:rsidR="00DD071E" w:rsidRPr="00DD071E" w:rsidRDefault="00B85AB7" w:rsidP="00DD07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Oversee the programming of cultural events through the committee system in which all residents of the Casa Bolívar actively participate</w:t>
      </w:r>
    </w:p>
    <w:p w14:paraId="6985687E" w14:textId="77777777" w:rsidR="00DD071E" w:rsidRPr="00DD071E" w:rsidRDefault="00B85AB7" w:rsidP="00DD07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Turn in grades for SPAN 4800-</w:t>
      </w:r>
      <w:r w:rsidRPr="00DD071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Language House</w:t>
      </w:r>
      <w:r w:rsidR="00DD071E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to the Faculty Coordinator.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This course can only be taken on a </w:t>
      </w:r>
      <w:r w:rsidRPr="00DD071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pass/no pass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basis</w:t>
      </w:r>
    </w:p>
    <w:p w14:paraId="5ABA3DD5" w14:textId="37739E1C" w:rsidR="00B85AB7" w:rsidRPr="00DD071E" w:rsidRDefault="00B85AB7" w:rsidP="00DD071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Train the incoming Language Assistant (in-Residence Director) on the </w:t>
      </w:r>
      <w:r w:rsidRPr="00DD071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Casa Bolívar</w:t>
      </w:r>
      <w:r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’s administration procedures.</w:t>
      </w:r>
    </w:p>
    <w:p w14:paraId="1D47C1A7" w14:textId="079C0ED4" w:rsidR="00B85AB7" w:rsidRPr="00B85AB7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64DCEF32" w14:textId="37B3AEBB" w:rsidR="00B85AB7" w:rsidRPr="00B85AB7" w:rsidRDefault="00DD071E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</w:pPr>
      <w:r w:rsidRPr="00DD071E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Requirements:</w:t>
      </w:r>
    </w:p>
    <w:p w14:paraId="0569D288" w14:textId="501513C6" w:rsidR="00DD071E" w:rsidRPr="00DD071E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Candidates must submit a statement of purpose that includes a brief biography and a cultural project proposal for the house for each semester (Fall and Spring). Applicants will then have a brief interview with the current director of the house. The statement of purpose will be reviewed by a committee made up of faculty from the </w:t>
      </w:r>
      <w:r w:rsidR="00DD071E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Department of </w:t>
      </w: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Spanish, Italian and Portuguese</w:t>
      </w:r>
      <w:r w:rsidR="00DD071E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, generally from the Spanish program, and with a combination of faculty involved in the undergraduate and graduate programs</w:t>
      </w: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.</w:t>
      </w:r>
      <w:r w:rsidR="00DD071E" w:rsidRPr="00DD071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 xml:space="preserve"> This committee will use the criteria below to evaluate proposals.</w:t>
      </w:r>
    </w:p>
    <w:p w14:paraId="3290273E" w14:textId="77777777" w:rsidR="00DD071E" w:rsidRPr="00DD071E" w:rsidRDefault="00DD071E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679CBFD6" w14:textId="1E1D6B46" w:rsidR="00DD071E" w:rsidRPr="00DD071E" w:rsidRDefault="00DD071E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DD071E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Graduate Student Liaison/Language Assistant Selection Criteria:</w:t>
      </w:r>
    </w:p>
    <w:p w14:paraId="0D1A47FB" w14:textId="77777777" w:rsidR="00DD071E" w:rsidRPr="00DD071E" w:rsidRDefault="00DD071E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15F590D5" w14:textId="53A47802" w:rsidR="00B85AB7" w:rsidRPr="00B85AB7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85AB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Language House Workshop:</w:t>
      </w: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Pr="00B85AB7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Detailed plan for logistic and student outreach; proposed themes and content promote CB mission (language mastery, informal and formal learning, cultural knowledge, personal expression); thoughtful explanation of how workshops relate to students’ interests.</w:t>
      </w:r>
    </w:p>
    <w:p w14:paraId="49D5CC7B" w14:textId="77777777" w:rsidR="00DD071E" w:rsidRPr="00DD071E" w:rsidRDefault="00DD071E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08C1E86A" w14:textId="5822CB15" w:rsidR="00B85AB7" w:rsidRPr="00B85AB7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85AB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Commitment to Inclusive Pedagogy:</w:t>
      </w: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Pr="00B85AB7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Scope and structure of event planning considers diverse learning needs/styles, student backgrounds, and language/cultural growth; clear explanation of how the applicant creates a safe and healthy learning environment in the classroom and translates those practices into extra-curricular learning or learning beyond the classroom.</w:t>
      </w:r>
    </w:p>
    <w:p w14:paraId="1D3D0AA6" w14:textId="77777777" w:rsidR="00DD071E" w:rsidRPr="00DD071E" w:rsidRDefault="00DD071E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11FDE45B" w14:textId="2A125B15" w:rsidR="00B85AB7" w:rsidRPr="00B85AB7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85AB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Experience: </w:t>
      </w:r>
      <w:r w:rsidRPr="00B85AB7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Candidate has researched Casa Bolívar and is knowledgeable about the position, as evidenced from the statement, interview and/or from the candidate’s questions at the end of the interview; evidence of teaching experience in Spanish and grade reporting; experience managing cultural programs, as appropriate to the level.</w:t>
      </w:r>
    </w:p>
    <w:p w14:paraId="09F468AC" w14:textId="77777777" w:rsidR="00DD071E" w:rsidRPr="00DD071E" w:rsidRDefault="00DD071E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542E333A" w14:textId="49CE49DC" w:rsidR="00B85AB7" w:rsidRPr="00B85AB7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85AB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Spanish: </w:t>
      </w:r>
      <w:r w:rsidRPr="00B85AB7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Candidate appears to have heritage, native, or near-native fluency in Spanish as indicated by their statement and evidenced in the interview.</w:t>
      </w:r>
    </w:p>
    <w:p w14:paraId="08F47EDA" w14:textId="77777777" w:rsidR="00DD071E" w:rsidRPr="00DD071E" w:rsidRDefault="00DD071E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0B700C71" w14:textId="0060499B" w:rsidR="00B85AB7" w:rsidRPr="00B85AB7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85AB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Collaboration: </w:t>
      </w:r>
      <w:r w:rsidRPr="00B85AB7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Experience working as part of a team across fields, ranks, and roles; evidence of successful teamwork can include one-on-one collaborations with supervisors, coordinating with groups of staff, and/or working with student and community groups.</w:t>
      </w:r>
    </w:p>
    <w:p w14:paraId="41C0B877" w14:textId="77777777" w:rsidR="00DD071E" w:rsidRPr="00DD071E" w:rsidRDefault="00DD071E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649A12C1" w14:textId="26B325E0" w:rsidR="00B85AB7" w:rsidRPr="00B85AB7" w:rsidRDefault="00B85AB7" w:rsidP="00DD07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  <w:r w:rsidRPr="00B85AB7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Student Engagement: </w:t>
      </w:r>
      <w:r w:rsidRPr="00B85AB7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Plans to keep students engaged to meet Housing requirement of full occupancy, which could include evidence of past work with student groups,</w:t>
      </w:r>
      <w:r w:rsidRPr="00B85AB7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  <w:t> </w:t>
      </w:r>
      <w:r w:rsidRPr="00B85AB7">
        <w:rPr>
          <w:rFonts w:ascii="Times New Roman" w:eastAsia="Times New Roman" w:hAnsi="Times New Roman" w:cs="Times New Roman"/>
          <w:i/>
          <w:iCs/>
          <w:color w:val="000000"/>
          <w:kern w:val="0"/>
          <w:sz w:val="22"/>
          <w:szCs w:val="22"/>
          <w14:ligatures w14:val="none"/>
        </w:rPr>
        <w:t>discussion of goals and assessments of engagement, and/or awareness of campus Housing policies.</w:t>
      </w:r>
    </w:p>
    <w:p w14:paraId="07971CDC" w14:textId="26E753BD" w:rsidR="000C5FFC" w:rsidRPr="000C5FFC" w:rsidRDefault="000C5FFC" w:rsidP="00DD07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14:ligatures w14:val="none"/>
        </w:rPr>
      </w:pPr>
    </w:p>
    <w:p w14:paraId="090F2209" w14:textId="77777777" w:rsidR="00BE38E0" w:rsidRPr="00DD071E" w:rsidRDefault="00BE38E0" w:rsidP="00DD071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BE38E0" w:rsidRPr="00DD071E" w:rsidSect="00DD0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C5F95"/>
    <w:multiLevelType w:val="hybridMultilevel"/>
    <w:tmpl w:val="EA30C556"/>
    <w:lvl w:ilvl="0" w:tplc="2488E90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E328E"/>
    <w:multiLevelType w:val="hybridMultilevel"/>
    <w:tmpl w:val="21AC24A6"/>
    <w:lvl w:ilvl="0" w:tplc="40460B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3AC2"/>
    <w:multiLevelType w:val="hybridMultilevel"/>
    <w:tmpl w:val="DA58F5DA"/>
    <w:lvl w:ilvl="0" w:tplc="F24036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093360">
    <w:abstractNumId w:val="2"/>
  </w:num>
  <w:num w:numId="2" w16cid:durableId="1674645058">
    <w:abstractNumId w:val="1"/>
  </w:num>
  <w:num w:numId="3" w16cid:durableId="149857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FC"/>
    <w:rsid w:val="000C5FFC"/>
    <w:rsid w:val="000F0C6B"/>
    <w:rsid w:val="000F53B2"/>
    <w:rsid w:val="002C4990"/>
    <w:rsid w:val="0041052D"/>
    <w:rsid w:val="00704780"/>
    <w:rsid w:val="0070607C"/>
    <w:rsid w:val="009237E0"/>
    <w:rsid w:val="00B8286E"/>
    <w:rsid w:val="00B85AB7"/>
    <w:rsid w:val="00BE38E0"/>
    <w:rsid w:val="00C96C9C"/>
    <w:rsid w:val="00CB687A"/>
    <w:rsid w:val="00CE7090"/>
    <w:rsid w:val="00D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8DA18"/>
  <w15:chartTrackingRefBased/>
  <w15:docId w15:val="{0E644AD4-F946-B14F-A7D4-3E152E5C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5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5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5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5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5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5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5F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C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xmsonormal">
    <w:name w:val="x_x_msonormal"/>
    <w:basedOn w:val="Normal"/>
    <w:rsid w:val="000C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8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1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4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3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Allison Margaret (amb8fk)</dc:creator>
  <cp:keywords/>
  <dc:description/>
  <cp:lastModifiedBy>Bigelow, Allison Margaret (amb8fk)</cp:lastModifiedBy>
  <cp:revision>2</cp:revision>
  <dcterms:created xsi:type="dcterms:W3CDTF">2025-04-14T14:35:00Z</dcterms:created>
  <dcterms:modified xsi:type="dcterms:W3CDTF">2025-04-14T17:52:00Z</dcterms:modified>
</cp:coreProperties>
</file>