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87F0" w14:textId="7A698637" w:rsidR="002342A6" w:rsidRDefault="007509BD">
      <w:r>
        <w:t>Diversity, Equity, and Inclusion Committee</w:t>
      </w:r>
    </w:p>
    <w:p w14:paraId="3D4EF3AD" w14:textId="177C23B8" w:rsidR="007509BD" w:rsidRDefault="007509BD">
      <w:r>
        <w:t>Department of Spanish, Italian, and Portuguese</w:t>
      </w:r>
    </w:p>
    <w:p w14:paraId="1191AEB1" w14:textId="4715237C" w:rsidR="00D92BFE" w:rsidRPr="00D92BFE" w:rsidRDefault="00FB23C3">
      <w:r>
        <w:t>University of Virginia, Unceded Territory of the Monacan Nation</w:t>
      </w:r>
    </w:p>
    <w:p w14:paraId="2DBDF872" w14:textId="6BF0F8F0" w:rsidR="007509BD" w:rsidRDefault="007509BD"/>
    <w:p w14:paraId="168B12FD" w14:textId="54688B41" w:rsidR="007509BD" w:rsidRDefault="00FB23C3">
      <w:r>
        <w:rPr>
          <w:b/>
          <w:bCs/>
        </w:rPr>
        <w:t>Overview</w:t>
      </w:r>
    </w:p>
    <w:p w14:paraId="0F92C4BB" w14:textId="7297320E" w:rsidR="007509BD" w:rsidRDefault="007509BD">
      <w:r>
        <w:t>The Diversity, Equity, and Inclusion (DEI) committee is a standing committee composed of 3 members of the tenured or tenure-track faculty.</w:t>
      </w:r>
      <w:r>
        <w:rPr>
          <w:rStyle w:val="FootnoteReference"/>
        </w:rPr>
        <w:footnoteReference w:id="1"/>
      </w:r>
      <w:r>
        <w:t xml:space="preserve"> Its core mission is to support department initiatives and ensure best practices related to diversity (a broad category that includes, among other forms of diversity, racial, ethnic, gender, sexual, and socioeconomic diversity), equity (taking measures to level the playing field and provide equal opportunity), and inclusion (</w:t>
      </w:r>
      <w:r w:rsidR="00FB23C3">
        <w:t>creating a healthy and welcoming work environment). The Director of DEI (DDEI) reports to department Chair and the Associate Dean for Diversity, Equity, and Inclusion in the College of Arts &amp; Sciences.</w:t>
      </w:r>
    </w:p>
    <w:p w14:paraId="4318195F" w14:textId="66658B9D" w:rsidR="00FB23C3" w:rsidRDefault="00FB23C3" w:rsidP="00FB23C3">
      <w:pPr>
        <w:ind w:left="720"/>
      </w:pPr>
      <w:r>
        <w:rPr>
          <w:b/>
          <w:bCs/>
        </w:rPr>
        <w:t xml:space="preserve">Graduate DEI Committee: </w:t>
      </w:r>
      <w:r>
        <w:t>The DEI committee works closely with the Graduate DEI Committee. See “Graduate Diversity, Equity, and Inclusion Committee: Processes and Procedures.”</w:t>
      </w:r>
    </w:p>
    <w:p w14:paraId="35ED93D5" w14:textId="764D355B" w:rsidR="00FB23C3" w:rsidRDefault="00FB23C3" w:rsidP="00FB23C3">
      <w:pPr>
        <w:ind w:left="720"/>
      </w:pPr>
    </w:p>
    <w:p w14:paraId="0B04E23E" w14:textId="18ADBCF1" w:rsidR="00FB23C3" w:rsidRDefault="00FB23C3" w:rsidP="00FB23C3">
      <w:pPr>
        <w:ind w:left="720"/>
      </w:pPr>
      <w:r>
        <w:t>N.B.: This document uses “they” pronouns to refer to all individuals.</w:t>
      </w:r>
    </w:p>
    <w:p w14:paraId="3D0E624A" w14:textId="6BDD7AD6" w:rsidR="007509BD" w:rsidRDefault="007509BD"/>
    <w:p w14:paraId="53C6B867" w14:textId="1FF57DEB" w:rsidR="007509BD" w:rsidRPr="007509BD" w:rsidRDefault="007509BD">
      <w:pPr>
        <w:rPr>
          <w:b/>
          <w:bCs/>
        </w:rPr>
      </w:pPr>
      <w:r>
        <w:rPr>
          <w:b/>
          <w:bCs/>
        </w:rPr>
        <w:t>Appointments</w:t>
      </w:r>
    </w:p>
    <w:p w14:paraId="14F39A4C" w14:textId="733C9939" w:rsidR="007509BD" w:rsidRDefault="007509BD">
      <w:r>
        <w:t xml:space="preserve">Committee members are appointed by the department Chair or </w:t>
      </w:r>
      <w:r w:rsidR="00FB23C3">
        <w:t>DDEI</w:t>
      </w:r>
      <w:r>
        <w:t>. Members serve staggered two-year terms. After a member serves their term, they must wait two years before serving again.</w:t>
      </w:r>
    </w:p>
    <w:p w14:paraId="0F69343E" w14:textId="5205ED16" w:rsidR="00FB23C3" w:rsidRDefault="00FB23C3"/>
    <w:p w14:paraId="48655888" w14:textId="100AB93E" w:rsidR="00FB23C3" w:rsidRDefault="00FB23C3">
      <w:r>
        <w:rPr>
          <w:b/>
          <w:bCs/>
        </w:rPr>
        <w:t>Responsibilities</w:t>
      </w:r>
    </w:p>
    <w:p w14:paraId="4C4C82B9" w14:textId="099E3B96" w:rsidR="00FB23C3" w:rsidRPr="002342A6" w:rsidRDefault="00FB23C3">
      <w:r>
        <w:t>The core responsibilities of the DEI committee include but are not limited to:</w:t>
      </w:r>
    </w:p>
    <w:p w14:paraId="796302A8" w14:textId="77777777" w:rsidR="002342A6" w:rsidRDefault="002342A6" w:rsidP="00FB23C3">
      <w:pPr>
        <w:ind w:left="720"/>
        <w:rPr>
          <w:rFonts w:ascii="Times" w:hAnsi="Times"/>
        </w:rPr>
      </w:pPr>
      <w:r>
        <w:t xml:space="preserve">• </w:t>
      </w:r>
      <w:r w:rsidRPr="00861C0E">
        <w:rPr>
          <w:rFonts w:ascii="Times" w:hAnsi="Times"/>
        </w:rPr>
        <w:t>addressing equity concerns raised by faculty, students, or staff and reporting (if necessary) to relevant administrative and/or human resources units</w:t>
      </w:r>
      <w:r>
        <w:rPr>
          <w:rFonts w:ascii="Times" w:hAnsi="Times"/>
        </w:rPr>
        <w:t xml:space="preserve"> in accordance with the Inclusive Excellence framework (</w:t>
      </w:r>
      <w:hyperlink r:id="rId6" w:history="1">
        <w:r w:rsidRPr="00211445">
          <w:rPr>
            <w:rStyle w:val="Hyperlink"/>
            <w:rFonts w:ascii="Times" w:hAnsi="Times"/>
          </w:rPr>
          <w:t>https://vpdiversity.virginia.edu/inclusive-excellence</w:t>
        </w:r>
      </w:hyperlink>
      <w:r>
        <w:rPr>
          <w:rFonts w:ascii="Times" w:hAnsi="Times"/>
        </w:rPr>
        <w:t xml:space="preserve">) </w:t>
      </w:r>
    </w:p>
    <w:p w14:paraId="6669D998" w14:textId="77777777" w:rsidR="002342A6" w:rsidRPr="00CF55D2" w:rsidRDefault="002342A6" w:rsidP="002342A6">
      <w:pPr>
        <w:ind w:left="720"/>
        <w:rPr>
          <w:rFonts w:ascii="Times" w:hAnsi="Times"/>
        </w:rPr>
      </w:pPr>
      <w:r>
        <w:t xml:space="preserve">• </w:t>
      </w:r>
      <w:r>
        <w:rPr>
          <w:rFonts w:ascii="Times" w:hAnsi="Times"/>
        </w:rPr>
        <w:t>communicating policies and programs related to DEI</w:t>
      </w:r>
    </w:p>
    <w:p w14:paraId="05CD9216" w14:textId="77777777" w:rsidR="002342A6" w:rsidRPr="00861C0E" w:rsidRDefault="002342A6" w:rsidP="002342A6">
      <w:pPr>
        <w:ind w:firstLine="720"/>
        <w:rPr>
          <w:rFonts w:ascii="Times" w:hAnsi="Times"/>
        </w:rPr>
      </w:pPr>
      <w:r>
        <w:t xml:space="preserve">• </w:t>
      </w:r>
      <w:r w:rsidRPr="00861C0E">
        <w:rPr>
          <w:rFonts w:ascii="Times" w:hAnsi="Times"/>
        </w:rPr>
        <w:t xml:space="preserve">ensuring best practices in faculty </w:t>
      </w:r>
      <w:r>
        <w:rPr>
          <w:rFonts w:ascii="Times" w:hAnsi="Times"/>
        </w:rPr>
        <w:t xml:space="preserve">and staff </w:t>
      </w:r>
      <w:r w:rsidRPr="00861C0E">
        <w:rPr>
          <w:rFonts w:ascii="Times" w:hAnsi="Times"/>
        </w:rPr>
        <w:t>searches</w:t>
      </w:r>
    </w:p>
    <w:p w14:paraId="3A69FEC1" w14:textId="77777777" w:rsidR="002342A6" w:rsidRPr="00861C0E" w:rsidRDefault="002342A6" w:rsidP="002342A6">
      <w:pPr>
        <w:ind w:firstLine="720"/>
        <w:rPr>
          <w:rFonts w:ascii="Times" w:hAnsi="Times"/>
        </w:rPr>
      </w:pPr>
      <w:r>
        <w:t xml:space="preserve">• </w:t>
      </w:r>
      <w:r w:rsidRPr="00861C0E">
        <w:rPr>
          <w:rFonts w:ascii="Times" w:hAnsi="Times"/>
        </w:rPr>
        <w:t>ensuring best practices in graduate recruitment</w:t>
      </w:r>
      <w:r>
        <w:rPr>
          <w:rFonts w:ascii="Times" w:hAnsi="Times"/>
        </w:rPr>
        <w:t xml:space="preserve"> and retention</w:t>
      </w:r>
    </w:p>
    <w:p w14:paraId="0F5F04C3" w14:textId="77777777" w:rsidR="002342A6" w:rsidRPr="00861C0E" w:rsidRDefault="002342A6" w:rsidP="002342A6">
      <w:pPr>
        <w:ind w:left="720"/>
        <w:rPr>
          <w:rFonts w:ascii="Times" w:hAnsi="Times"/>
        </w:rPr>
      </w:pPr>
      <w:r>
        <w:t xml:space="preserve">• </w:t>
      </w:r>
      <w:r w:rsidRPr="00861C0E">
        <w:rPr>
          <w:rFonts w:ascii="Times" w:hAnsi="Times"/>
        </w:rPr>
        <w:t xml:space="preserve">reviewing </w:t>
      </w:r>
      <w:r>
        <w:rPr>
          <w:rFonts w:ascii="Times" w:hAnsi="Times"/>
        </w:rPr>
        <w:t>DEI</w:t>
      </w:r>
      <w:r w:rsidRPr="00861C0E">
        <w:rPr>
          <w:rFonts w:ascii="Times" w:hAnsi="Times"/>
        </w:rPr>
        <w:t xml:space="preserve"> small grant proposals from the department to ensure best practices before they are submitted to the </w:t>
      </w:r>
      <w:r>
        <w:rPr>
          <w:rFonts w:ascii="Times" w:hAnsi="Times"/>
        </w:rPr>
        <w:t>C</w:t>
      </w:r>
      <w:r w:rsidRPr="00861C0E">
        <w:rPr>
          <w:rFonts w:ascii="Times" w:hAnsi="Times"/>
        </w:rPr>
        <w:t>ollege</w:t>
      </w:r>
    </w:p>
    <w:p w14:paraId="4B466DBA" w14:textId="749495E1" w:rsidR="002342A6" w:rsidRPr="00861C0E" w:rsidRDefault="002342A6" w:rsidP="002342A6">
      <w:pPr>
        <w:ind w:firstLine="720"/>
        <w:rPr>
          <w:rFonts w:ascii="Times" w:hAnsi="Times"/>
        </w:rPr>
      </w:pPr>
      <w:r>
        <w:t>• piloting initiatives with DD</w:t>
      </w:r>
      <w:r w:rsidR="00FB23C3">
        <w:t>E</w:t>
      </w:r>
      <w:r>
        <w:t>I funds</w:t>
      </w:r>
    </w:p>
    <w:p w14:paraId="194EA6D5" w14:textId="10FF23A4" w:rsidR="002342A6" w:rsidRDefault="002342A6"/>
    <w:p w14:paraId="27070B05" w14:textId="15B3E471" w:rsidR="00D92BFE" w:rsidRDefault="00D92BFE">
      <w:pPr>
        <w:rPr>
          <w:b/>
          <w:bCs/>
        </w:rPr>
      </w:pPr>
      <w:r>
        <w:rPr>
          <w:b/>
          <w:bCs/>
        </w:rPr>
        <w:t>Procedures</w:t>
      </w:r>
    </w:p>
    <w:p w14:paraId="314F8A9C" w14:textId="32BB72C6" w:rsidR="00D92BFE" w:rsidRPr="00D92BFE" w:rsidRDefault="00D92BFE">
      <w:r>
        <w:t>The DEI committee</w:t>
      </w:r>
      <w:r w:rsidR="00F76F61">
        <w:t xml:space="preserve"> addresses</w:t>
      </w:r>
      <w:r>
        <w:t xml:space="preserve"> issues raised by committee members, </w:t>
      </w:r>
      <w:r w:rsidR="00F76F61">
        <w:t xml:space="preserve">faculty, staff, students, or department stakeholders. For confidential matters, the committee or DDEI will communicate only with relevant administrators (e.g., HR, University </w:t>
      </w:r>
      <w:proofErr w:type="spellStart"/>
      <w:r w:rsidR="00F76F61">
        <w:t>Ombuds</w:t>
      </w:r>
      <w:proofErr w:type="spellEnd"/>
      <w:r w:rsidR="00F76F61">
        <w:t>, AD for DEI). For proposed changes to department governance, the committee will follow the procedures outlined in the bylaws. See “Department of Spanish, Italian, and Portuguese Bylaws.”</w:t>
      </w:r>
    </w:p>
    <w:p w14:paraId="66687DB0" w14:textId="45707970" w:rsidR="00FB23C3" w:rsidRPr="00FB23C3" w:rsidRDefault="00FB23C3">
      <w:pPr>
        <w:rPr>
          <w:b/>
          <w:bCs/>
        </w:rPr>
      </w:pPr>
    </w:p>
    <w:sectPr w:rsidR="00FB23C3" w:rsidRPr="00FB23C3" w:rsidSect="00927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E0FA" w14:textId="77777777" w:rsidR="002E194D" w:rsidRDefault="002E194D" w:rsidP="007509BD">
      <w:r>
        <w:separator/>
      </w:r>
    </w:p>
  </w:endnote>
  <w:endnote w:type="continuationSeparator" w:id="0">
    <w:p w14:paraId="08C614F5" w14:textId="77777777" w:rsidR="002E194D" w:rsidRDefault="002E194D" w:rsidP="007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68A0" w14:textId="77777777" w:rsidR="002E194D" w:rsidRDefault="002E194D" w:rsidP="007509BD">
      <w:r>
        <w:separator/>
      </w:r>
    </w:p>
  </w:footnote>
  <w:footnote w:type="continuationSeparator" w:id="0">
    <w:p w14:paraId="583064B7" w14:textId="77777777" w:rsidR="002E194D" w:rsidRDefault="002E194D" w:rsidP="007509BD">
      <w:r>
        <w:continuationSeparator/>
      </w:r>
    </w:p>
  </w:footnote>
  <w:footnote w:id="1">
    <w:p w14:paraId="3809F34E" w14:textId="7B7F362A" w:rsidR="007509BD" w:rsidRPr="007509BD" w:rsidRDefault="007509BD">
      <w:pPr>
        <w:pStyle w:val="FootnoteText"/>
      </w:pPr>
      <w:r>
        <w:rPr>
          <w:rStyle w:val="FootnoteReference"/>
        </w:rPr>
        <w:footnoteRef/>
      </w:r>
      <w:r>
        <w:t xml:space="preserve"> </w:t>
      </w:r>
      <w:r w:rsidRPr="007509BD">
        <w:t xml:space="preserve">This framework </w:t>
      </w:r>
      <w:r>
        <w:t xml:space="preserve">from </w:t>
      </w:r>
      <w:r w:rsidR="00FB23C3">
        <w:t xml:space="preserve">Spring </w:t>
      </w:r>
      <w:r>
        <w:t xml:space="preserve">2020 </w:t>
      </w:r>
      <w:r w:rsidRPr="007509BD">
        <w:t>may – and p</w:t>
      </w:r>
      <w:r>
        <w:t>robably</w:t>
      </w:r>
      <w:r w:rsidRPr="007509BD">
        <w:t xml:space="preserve"> should – change </w:t>
      </w:r>
      <w:r>
        <w:t>after the committee on TT and AGF roles concludes its study.</w:t>
      </w:r>
      <w:r w:rsidR="00FB23C3">
        <w:t xml:space="preserve"> The committee was formed in Fall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A6"/>
    <w:rsid w:val="002342A6"/>
    <w:rsid w:val="002E194D"/>
    <w:rsid w:val="003F06A2"/>
    <w:rsid w:val="005255C5"/>
    <w:rsid w:val="0058512B"/>
    <w:rsid w:val="007509BD"/>
    <w:rsid w:val="00927F97"/>
    <w:rsid w:val="00A348AF"/>
    <w:rsid w:val="00D92BFE"/>
    <w:rsid w:val="00ED0371"/>
    <w:rsid w:val="00F164E7"/>
    <w:rsid w:val="00F76F61"/>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78E20"/>
  <w14:defaultImageDpi w14:val="32767"/>
  <w15:chartTrackingRefBased/>
  <w15:docId w15:val="{9EEF9F16-F2D0-6046-822B-02A5896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A6"/>
    <w:rPr>
      <w:color w:val="0563C1" w:themeColor="hyperlink"/>
      <w:u w:val="single"/>
    </w:rPr>
  </w:style>
  <w:style w:type="paragraph" w:styleId="BalloonText">
    <w:name w:val="Balloon Text"/>
    <w:basedOn w:val="Normal"/>
    <w:link w:val="BalloonTextChar"/>
    <w:uiPriority w:val="99"/>
    <w:semiHidden/>
    <w:unhideWhenUsed/>
    <w:rsid w:val="002342A6"/>
    <w:rPr>
      <w:sz w:val="18"/>
      <w:szCs w:val="18"/>
    </w:rPr>
  </w:style>
  <w:style w:type="character" w:customStyle="1" w:styleId="BalloonTextChar">
    <w:name w:val="Balloon Text Char"/>
    <w:basedOn w:val="DefaultParagraphFont"/>
    <w:link w:val="BalloonText"/>
    <w:uiPriority w:val="99"/>
    <w:semiHidden/>
    <w:rsid w:val="002342A6"/>
    <w:rPr>
      <w:sz w:val="18"/>
      <w:szCs w:val="18"/>
    </w:rPr>
  </w:style>
  <w:style w:type="paragraph" w:styleId="FootnoteText">
    <w:name w:val="footnote text"/>
    <w:basedOn w:val="Normal"/>
    <w:link w:val="FootnoteTextChar"/>
    <w:uiPriority w:val="99"/>
    <w:semiHidden/>
    <w:unhideWhenUsed/>
    <w:rsid w:val="007509BD"/>
    <w:rPr>
      <w:sz w:val="20"/>
      <w:szCs w:val="20"/>
    </w:rPr>
  </w:style>
  <w:style w:type="character" w:customStyle="1" w:styleId="FootnoteTextChar">
    <w:name w:val="Footnote Text Char"/>
    <w:basedOn w:val="DefaultParagraphFont"/>
    <w:link w:val="FootnoteText"/>
    <w:uiPriority w:val="99"/>
    <w:semiHidden/>
    <w:rsid w:val="007509BD"/>
    <w:rPr>
      <w:sz w:val="20"/>
      <w:szCs w:val="20"/>
    </w:rPr>
  </w:style>
  <w:style w:type="character" w:styleId="FootnoteReference">
    <w:name w:val="footnote reference"/>
    <w:basedOn w:val="DefaultParagraphFont"/>
    <w:uiPriority w:val="99"/>
    <w:semiHidden/>
    <w:unhideWhenUsed/>
    <w:rsid w:val="00750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diversity.virginia.edu/inclusive-excelle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Allison Bigelow</cp:lastModifiedBy>
  <cp:revision>3</cp:revision>
  <dcterms:created xsi:type="dcterms:W3CDTF">2020-08-28T15:37:00Z</dcterms:created>
  <dcterms:modified xsi:type="dcterms:W3CDTF">2020-10-19T02:25:00Z</dcterms:modified>
</cp:coreProperties>
</file>